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6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Техническая спецификация закупаемых услуг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по</w:t>
      </w:r>
      <w:r/>
    </w:p>
    <w:p>
      <w:pPr>
        <w:ind w:left="-426" w:right="-2"/>
        <w:jc w:val="center"/>
        <w:rPr>
          <w:rFonts w:ascii="Calibri Light" w:hAnsi="Calibri Light" w:cs="Calibri Light"/>
          <w:color w:val="000000"/>
          <w:sz w:val="22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методологической поддержке в разработке и реализации</w:t>
      </w:r>
      <w:r/>
    </w:p>
    <w:p>
      <w:pPr>
        <w:ind w:left="-426" w:right="-2"/>
        <w:jc w:val="center"/>
        <w:rPr>
          <w:rFonts w:ascii="Calibri Light" w:hAnsi="Calibri Light" w:cs="Calibri Light"/>
          <w:color w:val="000000"/>
          <w:sz w:val="22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качественных изменений в сфере водоснабжения</w:t>
      </w:r>
      <w:r/>
    </w:p>
    <w:p>
      <w:pPr>
        <w:ind w:right="-786" w:firstLine="360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color w:val="000000"/>
          <w:sz w:val="22"/>
          <w:szCs w:val="22"/>
        </w:rPr>
      </w:r>
      <w:r/>
    </w:p>
    <w:tbl>
      <w:tblPr>
        <w:tblW w:w="15593" w:type="dxa"/>
        <w:tblInd w:w="-572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041"/>
        <w:gridCol w:w="4882"/>
        <w:gridCol w:w="3118"/>
        <w:gridCol w:w="1985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432"/>
              <w:ind w:left="-142" w:right="-159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№</w:t>
            </w:r>
            <w:r/>
          </w:p>
          <w:p>
            <w:pPr>
              <w:pStyle w:val="432"/>
              <w:ind w:left="-142" w:right="-159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 п/п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vAlign w:val="center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  <w:lang w:val="kk-KZ"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Полное наименование выполнения </w:t>
            </w:r>
            <w:r>
              <w:rPr>
                <w:rFonts w:ascii="Calibri Light" w:hAnsi="Calibri Light" w:cs="Calibri Light"/>
                <w:b/>
                <w:i/>
                <w:lang w:val="kk-KZ"/>
              </w:rPr>
              <w:t xml:space="preserve">услуг (</w:t>
            </w:r>
            <w:r>
              <w:rPr>
                <w:rFonts w:ascii="Calibri Light" w:hAnsi="Calibri Light" w:cs="Calibri Light"/>
                <w:b/>
                <w:i/>
              </w:rPr>
              <w:t xml:space="preserve">работ</w:t>
            </w:r>
            <w:r>
              <w:rPr>
                <w:rFonts w:ascii="Calibri Light" w:hAnsi="Calibri Light" w:cs="Calibri Light"/>
                <w:b/>
                <w:i/>
                <w:lang w:val="kk-KZ"/>
              </w:rPr>
              <w:t xml:space="preserve">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vAlign w:val="center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Форма завершения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center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Требования к исполнителю услуг</w:t>
            </w:r>
            <w:r/>
          </w:p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(диплом, сертификат, правоустанавливающие документы и др.)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b/>
                <w:i/>
                <w:lang w:val="kk-KZ"/>
              </w:rPr>
            </w:pPr>
            <w:r>
              <w:rPr>
                <w:rFonts w:ascii="Calibri Light" w:hAnsi="Calibri Light" w:cs="Calibri Light"/>
                <w:b/>
                <w:i/>
              </w:rPr>
              <w:t xml:space="preserve">Срок сдачи выполненных услуг</w:t>
            </w:r>
            <w:r>
              <w:rPr>
                <w:rFonts w:ascii="Calibri Light" w:hAnsi="Calibri Light" w:cs="Calibri Light"/>
                <w:b/>
                <w:i/>
                <w:lang w:val="kk-KZ"/>
              </w:rPr>
              <w:t xml:space="preserve"> (</w:t>
            </w:r>
            <w:r>
              <w:rPr>
                <w:rFonts w:ascii="Calibri Light" w:hAnsi="Calibri Light" w:cs="Calibri Light"/>
                <w:b/>
                <w:i/>
              </w:rPr>
              <w:t xml:space="preserve">работ</w:t>
            </w:r>
            <w:r>
              <w:rPr>
                <w:rFonts w:ascii="Calibri Light" w:hAnsi="Calibri Light" w:cs="Calibri Light"/>
                <w:b/>
                <w:i/>
                <w:lang w:val="kk-KZ"/>
              </w:rPr>
              <w:t xml:space="preserve">)</w:t>
            </w:r>
            <w:r/>
          </w:p>
        </w:tc>
      </w:tr>
      <w:tr>
        <w:trPr>
          <w:trHeight w:val="73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pStyle w:val="430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Дизайн деятельности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Delivery</w:t>
            </w: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Unit</w:t>
            </w: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 в водной отрасли.</w:t>
            </w:r>
            <w:r/>
          </w:p>
          <w:p>
            <w:pPr>
              <w:pStyle w:val="430"/>
              <w:ind w:left="0"/>
              <w:jc w:val="both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ru-RU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pStyle w:val="430"/>
              <w:ind w:left="0"/>
              <w:jc w:val="both"/>
              <w:tabs>
                <w:tab w:val="left" w:pos="0" w:leader="none"/>
                <w:tab w:val="left" w:pos="385" w:leader="none"/>
              </w:tabs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  <w:t xml:space="preserve">Методологические рекомендации по организации работы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Delivery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n-US"/>
              </w:rPr>
              <w:t xml:space="preserve">Unit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  <w:t xml:space="preserve">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Образование: высшее (техническое и/или будет преимуществом по специальности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«</w:t>
            </w:r>
            <w:r>
              <w:rPr>
                <w:rStyle w:val="435"/>
                <w:rFonts w:ascii="Calibri Light" w:hAnsi="Calibri Light" w:cs="Calibri Light"/>
                <w:i w:val="false"/>
                <w:iCs w:val="false"/>
                <w:sz w:val="22"/>
                <w:szCs w:val="22"/>
                <w:shd w:val="clear" w:fill="FFFFFF" w:color="FFFFFF"/>
              </w:rPr>
              <w:t xml:space="preserve">Водоснабжение</w:t>
            </w:r>
            <w:r>
              <w:rPr>
                <w:rFonts w:ascii="Calibri Light" w:hAnsi="Calibri Light" w:cs="Calibri Light"/>
                <w:sz w:val="22"/>
                <w:szCs w:val="22"/>
                <w:shd w:val="clear" w:fill="FFFFFF" w:color="FFFFFF"/>
              </w:rPr>
              <w:t xml:space="preserve"> и водоотведение»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</w:t>
            </w:r>
            <w:r/>
          </w:p>
          <w:p>
            <w:pPr>
              <w:spacing w:lineRule="atLeast" w:line="235"/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</w:r>
            <w:r/>
          </w:p>
          <w:p>
            <w:pPr>
              <w:pStyle w:val="433"/>
              <w:ind w:left="67" w:hanging="67"/>
              <w:spacing w:after="0" w:afterAutospacing="0" w:before="0" w:beforeAutospacing="0"/>
              <w:tabs>
                <w:tab w:val="left" w:pos="493" w:leader="none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Общий стаж работы: не менее 7 лет </w:t>
            </w:r>
            <w:r/>
          </w:p>
          <w:p>
            <w:pPr>
              <w:pStyle w:val="433"/>
              <w:ind w:left="67" w:hanging="67"/>
              <w:spacing w:after="0" w:afterAutospacing="0" w:before="0" w:beforeAutospacing="0"/>
              <w:tabs>
                <w:tab w:val="left" w:pos="493" w:leader="none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</w:r>
            <w:r/>
          </w:p>
          <w:p>
            <w:pPr>
              <w:pStyle w:val="433"/>
              <w:ind w:left="67" w:hanging="67"/>
              <w:spacing w:after="0" w:afterAutospacing="0" w:before="0" w:beforeAutospacing="0"/>
              <w:tabs>
                <w:tab w:val="left" w:pos="493" w:leader="none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Профессиональный опыт:</w:t>
            </w:r>
            <w:r/>
          </w:p>
          <w:p>
            <w:pPr>
              <w:spacing w:lineRule="atLeast" w:line="235"/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опыт по управлению проектами в области водоснабжения; </w:t>
            </w:r>
            <w:r/>
          </w:p>
          <w:p>
            <w:pPr>
              <w:spacing w:lineRule="atLeast" w:line="235"/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опыт в разработке стратегических документов; </w:t>
            </w:r>
            <w:r/>
          </w:p>
          <w:p>
            <w:pPr>
              <w:spacing w:lineRule="atLeast" w:line="235"/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  <w:lang w:val="kk-KZ"/>
              </w:rPr>
              <w:t xml:space="preserve">- опыт работы в исследовательских и аналитических структурах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; </w:t>
            </w:r>
            <w:r/>
          </w:p>
          <w:p>
            <w:pPr>
              <w:spacing w:lineRule="atLeast" w:line="235"/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опыт в институциональной трансформации отрасли водных ресурсов;</w:t>
            </w:r>
            <w:r/>
          </w:p>
          <w:p>
            <w:pPr>
              <w:spacing w:lineRule="atLeast" w:line="235"/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отечественный и международный опыт в области водоснабжения.</w:t>
            </w:r>
            <w:r/>
          </w:p>
          <w:p>
            <w:pPr>
              <w:pStyle w:val="433"/>
              <w:spacing w:after="0" w:afterAutospacing="0" w:before="0" w:beforeAutospacing="0"/>
              <w:tabs>
                <w:tab w:val="left" w:pos="493" w:leader="none"/>
              </w:tabs>
              <w:rPr>
                <w:rFonts w:ascii="Calibri Light" w:hAnsi="Calibri Light" w:cs="Calibri Light"/>
                <w:sz w:val="22"/>
                <w:szCs w:val="22"/>
                <w:shd w:val="clear" w:fill="FFFFFF" w:color="FFFFFF"/>
              </w:rPr>
            </w:pPr>
            <w:r>
              <w:rPr>
                <w:rFonts w:ascii="Calibri Light" w:hAnsi="Calibri Light" w:cs="Calibri Light"/>
                <w:sz w:val="22"/>
                <w:szCs w:val="22"/>
                <w:shd w:val="clear" w:fill="FFFFFF" w:color="FFFFFF"/>
              </w:rPr>
            </w:r>
            <w:r/>
          </w:p>
          <w:p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 Light" w:hAnsi="Calibri Light" w:cs="Calibri Light" w:eastAsia="Calibri"/>
                <w:sz w:val="22"/>
                <w:szCs w:val="22"/>
              </w:rPr>
            </w:pP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до 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15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ию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ня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 2023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года</w:t>
            </w:r>
            <w:r/>
          </w:p>
        </w:tc>
      </w:tr>
      <w:tr>
        <w:trPr>
          <w:trHeight w:val="73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pStyle w:val="430"/>
              <w:ind w:left="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  <w:t xml:space="preserve">Адаптация методов стратегического планирования и фильтрации проектов для подготовки решений на межведомственном уровне.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pStyle w:val="430"/>
              <w:numPr>
                <w:ilvl w:val="1"/>
                <w:numId w:val="3"/>
              </w:numPr>
              <w:ind w:left="0" w:firstLine="0"/>
              <w:jc w:val="both"/>
              <w:spacing w:lineRule="auto" w:line="276"/>
              <w:widowControl w:val="off"/>
              <w:tabs>
                <w:tab w:val="left" w:pos="0" w:leader="none"/>
                <w:tab w:val="left" w:pos="385" w:leader="none"/>
              </w:tabs>
              <w:rPr>
                <w:rFonts w:ascii="Calibri Light" w:hAnsi="Calibri Light" w:cs="Calibri Light"/>
                <w:sz w:val="22"/>
                <w:szCs w:val="22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Фреймворк для анализа предлагаемых стратегий развития в сфере водных ресурсов.</w:t>
            </w:r>
            <w:r/>
          </w:p>
          <w:p>
            <w:pPr>
              <w:pStyle w:val="430"/>
              <w:numPr>
                <w:ilvl w:val="1"/>
                <w:numId w:val="3"/>
              </w:numPr>
              <w:ind w:left="0" w:firstLine="0"/>
              <w:jc w:val="both"/>
              <w:spacing w:lineRule="auto" w:line="276"/>
              <w:widowControl w:val="off"/>
              <w:tabs>
                <w:tab w:val="left" w:pos="0" w:leader="none"/>
                <w:tab w:val="left" w:pos="385" w:leader="none"/>
              </w:tabs>
              <w:rPr>
                <w:rFonts w:ascii="Calibri Light" w:hAnsi="Calibri Light" w:cs="Calibri Light"/>
                <w:sz w:val="22"/>
                <w:szCs w:val="22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Аналитические материалы, включая набор критериев.</w:t>
            </w:r>
            <w:r/>
          </w:p>
          <w:p>
            <w:pPr>
              <w:pStyle w:val="430"/>
              <w:numPr>
                <w:ilvl w:val="1"/>
                <w:numId w:val="3"/>
              </w:numPr>
              <w:ind w:left="0" w:firstLine="0"/>
              <w:jc w:val="both"/>
              <w:tabs>
                <w:tab w:val="left" w:pos="0" w:leader="none"/>
                <w:tab w:val="left" w:pos="385" w:leader="none"/>
              </w:tabs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Методические подходы по отбору проектов в сфере водных ресурсов.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 Light" w:hAnsi="Calibri Light" w:cs="Calibri Light" w:eastAsia="Calibri"/>
                <w:sz w:val="22"/>
                <w:szCs w:val="22"/>
              </w:rPr>
            </w:pPr>
            <w:r>
              <w:rPr>
                <w:rFonts w:ascii="Calibri Light" w:hAnsi="Calibri Light" w:cs="Calibri Light" w:eastAsia="Calibri"/>
                <w:sz w:val="22"/>
                <w:szCs w:val="22"/>
              </w:rPr>
              <w:t xml:space="preserve">до 14 июля 2023 года</w:t>
            </w:r>
            <w:r/>
          </w:p>
        </w:tc>
      </w:tr>
      <w:tr>
        <w:trPr>
          <w:trHeight w:val="85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</w:t>
            </w:r>
            <w:r>
              <w:rPr>
                <w:rFonts w:ascii="Calibri Light" w:hAnsi="Calibri Light" w:cs="Calibri Light"/>
              </w:rPr>
              <w:t xml:space="preserve">.</w:t>
            </w:r>
            <w:r/>
          </w:p>
        </w:tc>
        <w:tc>
          <w:tcPr>
            <w:shd w:val="clear" w:fill="FFFFFF" w:color="FFFFFF"/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pStyle w:val="430"/>
              <w:ind w:left="0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. Анализ предложений рабочей, экспертной групп в сфере водоснабжения на соответствие критериям реализуемости и результативности.  </w:t>
            </w:r>
            <w:r/>
          </w:p>
          <w:p>
            <w:pPr>
              <w:jc w:val="both"/>
              <w:tabs>
                <w:tab w:val="left" w:pos="180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Подготовка и участие в проведении стратегической сессии.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jc w:val="both"/>
              <w:tabs>
                <w:tab w:val="left" w:pos="243" w:leader="none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Анализ логики воздействия по приоритетным направлениям развития в сфере водоснабжения. </w:t>
            </w:r>
            <w:r/>
          </w:p>
          <w:p>
            <w:pPr>
              <w:jc w:val="both"/>
              <w:tabs>
                <w:tab w:val="left" w:pos="243" w:leader="none"/>
              </w:tabs>
              <w:rPr>
                <w:rFonts w:ascii="Calibri Light" w:hAnsi="Calibri Light" w:cs="Calibri Light" w:eastAsia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Презентация в формате PPT.</w:t>
            </w:r>
            <w:r/>
          </w:p>
          <w:p>
            <w:pPr>
              <w:pStyle w:val="432"/>
              <w:numPr>
                <w:ilvl w:val="0"/>
                <w:numId w:val="7"/>
              </w:numPr>
              <w:ind w:left="0" w:firstLine="0"/>
              <w:jc w:val="both"/>
              <w:spacing w:lineRule="auto" w:line="240" w:after="0"/>
              <w:tabs>
                <w:tab w:val="left" w:pos="243" w:leader="none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Информация о методическом руководстве и модерировании сессии.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pStyle w:val="432"/>
              <w:ind w:firstLine="209"/>
              <w:spacing w:lineRule="auto" w:line="240" w:after="0"/>
              <w:tabs>
                <w:tab w:val="left" w:pos="67" w:leader="none"/>
              </w:tabs>
              <w:rPr>
                <w:rFonts w:ascii="Calibri Light" w:hAnsi="Calibri Light" w:cs="Calibri Light"/>
                <w:b/>
                <w:lang w:val="kk-KZ"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lang w:val="kk-KZ"/>
              </w:rPr>
            </w:pPr>
            <w:r>
              <w:rPr>
                <w:rFonts w:ascii="Calibri Light" w:hAnsi="Calibri Light" w:cs="Calibri Light"/>
                <w:lang w:val="kk-KZ"/>
              </w:rPr>
              <w:t xml:space="preserve">до </w:t>
            </w:r>
            <w:r>
              <w:rPr>
                <w:rFonts w:ascii="Calibri Light" w:hAnsi="Calibri Light" w:cs="Calibri Light"/>
                <w:lang w:val="kk-KZ"/>
              </w:rPr>
              <w:t xml:space="preserve">15</w:t>
            </w:r>
            <w:r>
              <w:rPr>
                <w:rFonts w:ascii="Calibri Light" w:hAnsi="Calibri Light" w:cs="Calibri Light"/>
                <w:lang w:val="kk-KZ"/>
              </w:rPr>
              <w:t xml:space="preserve"> </w:t>
            </w:r>
            <w:r>
              <w:rPr>
                <w:rFonts w:ascii="Calibri Light" w:hAnsi="Calibri Light" w:cs="Calibri Light"/>
                <w:lang w:val="kk-KZ"/>
              </w:rPr>
              <w:t xml:space="preserve">августа</w:t>
            </w:r>
            <w:r>
              <w:rPr>
                <w:rFonts w:ascii="Calibri Light" w:hAnsi="Calibri Light" w:cs="Calibri Light"/>
                <w:lang w:val="kk-KZ"/>
              </w:rPr>
              <w:t xml:space="preserve"> 2023 года</w:t>
            </w:r>
            <w:r/>
          </w:p>
        </w:tc>
      </w:tr>
      <w:tr>
        <w:trPr>
          <w:trHeight w:val="85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4</w:t>
            </w:r>
            <w:r>
              <w:rPr>
                <w:rFonts w:ascii="Calibri Light" w:hAnsi="Calibri Light" w:cs="Calibri Light"/>
              </w:rPr>
              <w:t xml:space="preserve">.</w:t>
            </w:r>
            <w:r/>
          </w:p>
        </w:tc>
        <w:tc>
          <w:tcPr>
            <w:shd w:val="clear" w:fill="FFFFFF" w:color="FFFFFF"/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1. Подходы по формированию и отбору проектов водной отрасли в рамках Delivery Unit.</w:t>
            </w:r>
            <w:r/>
          </w:p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2. Оценка воздействия предложений проектных групп в сфере водных ресурсов и экспертного совета.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pStyle w:val="432"/>
              <w:numPr>
                <w:ilvl w:val="0"/>
                <w:numId w:val="6"/>
              </w:numPr>
              <w:ind w:left="0" w:firstLine="0"/>
              <w:jc w:val="both"/>
              <w:spacing w:lineRule="auto" w:line="240" w:after="0"/>
              <w:tabs>
                <w:tab w:val="left" w:pos="243" w:leader="none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Методическое руководство и модерирование сессии, </w:t>
            </w:r>
            <w:r>
              <w:rPr>
                <w:rFonts w:ascii="Calibri Light" w:hAnsi="Calibri Light" w:cs="Calibri Light"/>
              </w:rPr>
              <w:t xml:space="preserve">информация</w:t>
            </w:r>
            <w:r>
              <w:rPr>
                <w:rFonts w:ascii="Calibri Light" w:hAnsi="Calibri Light" w:cs="Calibri Light"/>
              </w:rPr>
              <w:t xml:space="preserve"> об участии.</w:t>
            </w:r>
            <w:r/>
          </w:p>
          <w:p>
            <w:pPr>
              <w:pStyle w:val="430"/>
              <w:numPr>
                <w:ilvl w:val="0"/>
                <w:numId w:val="6"/>
              </w:numPr>
              <w:ind w:left="0" w:firstLine="0"/>
              <w:jc w:val="both"/>
              <w:tabs>
                <w:tab w:val="left" w:pos="243" w:leader="none"/>
              </w:tabs>
              <w:rPr>
                <w:rFonts w:ascii="Calibri Light" w:hAnsi="Calibri Light" w:cs="Calibri Light" w:eastAsia="Calibri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ru-RU"/>
              </w:rPr>
              <w:t xml:space="preserve">Не менее 3 оценок в формате таблиц и презентационных материалов с пояснениями.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pStyle w:val="432"/>
              <w:ind w:firstLine="209"/>
              <w:spacing w:lineRule="auto" w:line="240" w:after="0"/>
              <w:tabs>
                <w:tab w:val="left" w:pos="67" w:leader="none"/>
              </w:tabs>
              <w:rPr>
                <w:rFonts w:ascii="Calibri Light" w:hAnsi="Calibri Light" w:cs="Calibri Light"/>
                <w:b/>
                <w:lang w:val="kk-KZ"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  <w:lang w:val="kk-KZ"/>
              </w:rPr>
            </w:pPr>
            <w:r>
              <w:rPr>
                <w:rFonts w:ascii="Calibri Light" w:hAnsi="Calibri Light" w:cs="Calibri Light"/>
                <w:lang w:val="kk-KZ"/>
              </w:rPr>
              <w:t xml:space="preserve">до</w:t>
            </w:r>
            <w:r>
              <w:rPr>
                <w:rFonts w:ascii="Calibri Light" w:hAnsi="Calibri Light" w:cs="Calibri Light"/>
                <w:lang w:val="kk-KZ"/>
              </w:rPr>
              <w:t xml:space="preserve"> </w:t>
            </w:r>
            <w:r>
              <w:rPr>
                <w:rFonts w:ascii="Calibri Light" w:hAnsi="Calibri Light" w:cs="Calibri Light"/>
                <w:lang w:val="kk-KZ"/>
              </w:rPr>
              <w:t xml:space="preserve">15</w:t>
            </w:r>
            <w:r>
              <w:rPr>
                <w:rFonts w:ascii="Calibri Light" w:hAnsi="Calibri Light" w:cs="Calibri Light"/>
                <w:lang w:val="kk-KZ"/>
              </w:rPr>
              <w:t xml:space="preserve"> </w:t>
            </w:r>
            <w:r>
              <w:rPr>
                <w:rFonts w:ascii="Calibri Light" w:hAnsi="Calibri Light" w:cs="Calibri Light"/>
                <w:lang w:val="kk-KZ"/>
              </w:rPr>
              <w:t xml:space="preserve">сентября</w:t>
            </w:r>
            <w:r>
              <w:rPr>
                <w:rFonts w:ascii="Calibri Light" w:hAnsi="Calibri Light" w:cs="Calibri Light"/>
                <w:lang w:val="kk-KZ"/>
              </w:rPr>
              <w:t xml:space="preserve"> 2023 года</w:t>
            </w:r>
            <w:r/>
          </w:p>
        </w:tc>
      </w:tr>
      <w:tr>
        <w:trPr>
          <w:trHeight w:val="107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5</w:t>
            </w:r>
            <w:r>
              <w:rPr>
                <w:rFonts w:ascii="Calibri Light" w:hAnsi="Calibri Light" w:cs="Calibri Light"/>
              </w:rPr>
              <w:t xml:space="preserve">.</w:t>
            </w:r>
            <w:r/>
          </w:p>
        </w:tc>
        <w:tc>
          <w:tcPr>
            <w:shd w:val="clear" w:fill="FFFFFF" w:color="FFFFFF"/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. Разработка видения по формированию центра компетенций.</w:t>
            </w:r>
            <w:r/>
          </w:p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2. Сопоставительный анализ стратегических материалов по развитию сферы водных ресурсов.</w:t>
            </w:r>
            <w:r/>
          </w:p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1. Концепция с описанием и сопроводительными материалами.</w:t>
            </w:r>
            <w:r/>
          </w:p>
          <w:p>
            <w:pPr>
              <w:jc w:val="both"/>
              <w:rPr>
                <w:rFonts w:ascii="Calibri Light" w:hAnsi="Calibri Light" w:cs="Calibri Light" w:eastAsia="SimSu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2. Сопоставительный анализ, проект служебной записки по текущей и перспективной ситуации.</w:t>
            </w:r>
            <w:r/>
          </w:p>
          <w:p>
            <w:pPr>
              <w:ind w:firstLine="720"/>
              <w:jc w:val="both"/>
              <w:rPr>
                <w:rFonts w:ascii="Calibri Light" w:hAnsi="Calibri Light" w:cs="Calibri Light" w:eastAsia="SimSu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 w:eastAsia="SimSun"/>
                <w:sz w:val="22"/>
                <w:szCs w:val="22"/>
                <w:lang w:eastAsia="en-US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pStyle w:val="432"/>
              <w:ind w:firstLine="209"/>
              <w:spacing w:lineRule="auto" w:line="240" w:after="0"/>
              <w:tabs>
                <w:tab w:val="left" w:pos="67" w:leader="none"/>
              </w:tabs>
              <w:rPr>
                <w:rFonts w:ascii="Calibri Light" w:hAnsi="Calibri Light" w:cs="Calibri Light"/>
                <w:b/>
                <w:lang w:val="kk-KZ"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 w:eastAsia="Calibri"/>
              </w:rPr>
            </w:pPr>
            <w:r>
              <w:rPr>
                <w:rFonts w:ascii="Calibri Light" w:hAnsi="Calibri Light" w:cs="Calibri Light"/>
                <w:lang w:val="kk-KZ"/>
              </w:rPr>
              <w:t xml:space="preserve">до</w:t>
            </w:r>
            <w:r>
              <w:rPr>
                <w:rFonts w:ascii="Calibri Light" w:hAnsi="Calibri Light" w:cs="Calibri Light" w:eastAsia="Calibri"/>
              </w:rPr>
              <w:t xml:space="preserve"> </w:t>
            </w:r>
            <w:r>
              <w:rPr>
                <w:rFonts w:ascii="Calibri Light" w:hAnsi="Calibri Light" w:cs="Calibri Light" w:eastAsia="Calibri"/>
              </w:rPr>
              <w:t xml:space="preserve">16</w:t>
            </w:r>
            <w:r>
              <w:rPr>
                <w:rFonts w:ascii="Calibri Light" w:hAnsi="Calibri Light" w:cs="Calibri Light" w:eastAsia="Calibri"/>
              </w:rPr>
              <w:t xml:space="preserve"> </w:t>
            </w:r>
            <w:r>
              <w:rPr>
                <w:rFonts w:ascii="Calibri Light" w:hAnsi="Calibri Light" w:cs="Calibri Light" w:eastAsia="Calibri"/>
              </w:rPr>
              <w:t xml:space="preserve">октября</w:t>
            </w:r>
            <w:r>
              <w:rPr>
                <w:rFonts w:ascii="Calibri Light" w:hAnsi="Calibri Light" w:cs="Calibri Light" w:eastAsia="Calibri"/>
              </w:rPr>
              <w:t xml:space="preserve"> 2023 года</w:t>
            </w:r>
            <w:r/>
          </w:p>
        </w:tc>
      </w:tr>
      <w:tr>
        <w:trPr>
          <w:trHeight w:val="107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6</w:t>
            </w:r>
            <w:r>
              <w:rPr>
                <w:rFonts w:ascii="Calibri Light" w:hAnsi="Calibri Light" w:cs="Calibri Light"/>
              </w:rPr>
              <w:t xml:space="preserve">.</w:t>
            </w:r>
            <w:r/>
          </w:p>
        </w:tc>
        <w:tc>
          <w:tcPr>
            <w:shd w:val="clear" w:fill="FFFFFF" w:color="FFFFFF"/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1. Разработка основных направлений развития сектора водных ресурсов.</w:t>
            </w:r>
            <w:r/>
          </w:p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2. Формирование задачи для проектной группы по мониторингу достижения результатов</w:t>
            </w:r>
            <w:r/>
          </w:p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pStyle w:val="432"/>
              <w:jc w:val="both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Обоснование выбора (анализ ситуации </w:t>
            </w:r>
            <w:r>
              <w:rPr>
                <w:rFonts w:ascii="Calibri Light" w:hAnsi="Calibri Light" w:cs="Calibri Light"/>
                <w:lang w:val="en-US"/>
              </w:rPr>
              <w:t xml:space="preserve">SWOT</w:t>
            </w:r>
            <w:r>
              <w:rPr>
                <w:rFonts w:ascii="Calibri Light" w:hAnsi="Calibri Light" w:cs="Calibri Light"/>
              </w:rPr>
              <w:t xml:space="preserve">/</w:t>
            </w:r>
            <w:r>
              <w:rPr>
                <w:rFonts w:ascii="Calibri Light" w:hAnsi="Calibri Light" w:cs="Calibri Light"/>
                <w:lang w:val="en-US"/>
              </w:rPr>
              <w:t xml:space="preserve">PESTEL</w:t>
            </w:r>
            <w:r>
              <w:rPr>
                <w:rFonts w:ascii="Calibri Light" w:hAnsi="Calibri Light" w:cs="Calibri Light"/>
              </w:rPr>
              <w:t xml:space="preserve">).</w:t>
            </w:r>
            <w:r/>
          </w:p>
          <w:p>
            <w:pPr>
              <w:pStyle w:val="432"/>
              <w:jc w:val="both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План-график внедрения для ответственных участников (руководители проектных групп)</w:t>
            </w:r>
            <w:r/>
          </w:p>
          <w:p>
            <w:pPr>
              <w:pStyle w:val="432"/>
              <w:jc w:val="both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pStyle w:val="432"/>
              <w:ind w:firstLine="209"/>
              <w:spacing w:lineRule="auto" w:line="240" w:after="0"/>
              <w:tabs>
                <w:tab w:val="left" w:pos="67" w:leader="none"/>
              </w:tabs>
              <w:rPr>
                <w:rFonts w:ascii="Calibri Light" w:hAnsi="Calibri Light" w:cs="Calibri Light"/>
                <w:b/>
                <w:lang w:val="kk-KZ"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 w:eastAsia="Calibri"/>
              </w:rPr>
            </w:pPr>
            <w:r>
              <w:rPr>
                <w:rFonts w:ascii="Calibri Light" w:hAnsi="Calibri Light" w:cs="Calibri Light"/>
                <w:lang w:val="kk-KZ"/>
              </w:rPr>
              <w:t xml:space="preserve">до</w:t>
            </w:r>
            <w:r>
              <w:rPr>
                <w:rFonts w:ascii="Calibri Light" w:hAnsi="Calibri Light" w:cs="Calibri Light" w:eastAsia="Calibri"/>
              </w:rPr>
              <w:t xml:space="preserve"> </w:t>
            </w:r>
            <w:r>
              <w:rPr>
                <w:rFonts w:ascii="Calibri Light" w:hAnsi="Calibri Light" w:cs="Calibri Light" w:eastAsia="Calibri"/>
              </w:rPr>
              <w:t xml:space="preserve">15</w:t>
            </w:r>
            <w:r>
              <w:rPr>
                <w:rFonts w:ascii="Calibri Light" w:hAnsi="Calibri Light" w:cs="Calibri Light" w:eastAsia="Calibri"/>
              </w:rPr>
              <w:t xml:space="preserve"> ноября 2023 </w:t>
            </w:r>
            <w:r>
              <w:rPr>
                <w:rFonts w:ascii="Calibri Light" w:hAnsi="Calibri Light" w:cs="Calibri Light" w:eastAsia="Calibri"/>
              </w:rPr>
              <w:t xml:space="preserve">года</w:t>
            </w:r>
            <w:r/>
          </w:p>
        </w:tc>
      </w:tr>
      <w:tr>
        <w:trPr>
          <w:trHeight w:val="107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7</w:t>
            </w:r>
            <w:r>
              <w:rPr>
                <w:rFonts w:ascii="Calibri Light" w:hAnsi="Calibri Light" w:cs="Calibri Light"/>
              </w:rPr>
              <w:t xml:space="preserve">.</w:t>
            </w:r>
            <w:r/>
          </w:p>
        </w:tc>
        <w:tc>
          <w:tcPr>
            <w:shd w:val="clear" w:fill="FFFFFF" w:color="FFFFFF"/>
            <w:tcMar>
              <w:left w:w="108" w:type="dxa"/>
              <w:top w:w="0" w:type="dxa"/>
              <w:right w:w="108" w:type="dxa"/>
              <w:bottom w:w="0" w:type="dxa"/>
            </w:tcMar>
            <w:tcW w:w="5041" w:type="dxa"/>
            <w:textDirection w:val="lrTb"/>
            <w:noWrap w:val="false"/>
          </w:tcPr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1. Разработка методологической основы реформирования системы управления водными ресурсами</w:t>
            </w:r>
            <w:r/>
          </w:p>
          <w:p>
            <w:pPr>
              <w:jc w:val="both"/>
              <w:tabs>
                <w:tab w:val="left" w:pos="397" w:leader="none"/>
              </w:tabs>
              <w:rPr>
                <w:rFonts w:ascii="Calibri Light" w:hAnsi="Calibri Light" w:cs="Calibri Light"/>
                <w:sz w:val="22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2. Методологические основы упорядочения функций государственного аппарата в водной отрасли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882" w:type="dxa"/>
            <w:textDirection w:val="lrTb"/>
            <w:noWrap w:val="false"/>
          </w:tcPr>
          <w:p>
            <w:pPr>
              <w:pStyle w:val="432"/>
              <w:jc w:val="both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Методические руководства</w:t>
            </w:r>
            <w:r/>
          </w:p>
          <w:p>
            <w:pPr>
              <w:pStyle w:val="432"/>
              <w:jc w:val="both"/>
              <w:spacing w:lineRule="auto" w:line="24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pStyle w:val="432"/>
              <w:ind w:firstLine="209"/>
              <w:spacing w:lineRule="auto" w:line="240" w:after="0"/>
              <w:tabs>
                <w:tab w:val="left" w:pos="67" w:leader="none"/>
              </w:tabs>
              <w:rPr>
                <w:rFonts w:ascii="Calibri Light" w:hAnsi="Calibri Light" w:cs="Calibri Light"/>
                <w:b/>
                <w:lang w:val="kk-KZ"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432"/>
              <w:jc w:val="center"/>
              <w:spacing w:lineRule="auto" w:line="240" w:after="0"/>
              <w:rPr>
                <w:rFonts w:ascii="Calibri Light" w:hAnsi="Calibri Light" w:cs="Calibri Light" w:eastAsia="Calibri"/>
              </w:rPr>
            </w:pPr>
            <w:r>
              <w:rPr>
                <w:rFonts w:ascii="Calibri Light" w:hAnsi="Calibri Light" w:cs="Calibri Light"/>
                <w:lang w:val="kk-KZ"/>
              </w:rPr>
              <w:t xml:space="preserve">до</w:t>
            </w:r>
            <w:r>
              <w:rPr>
                <w:rFonts w:ascii="Calibri Light" w:hAnsi="Calibri Light" w:cs="Calibri Light" w:eastAsia="Calibri"/>
              </w:rPr>
              <w:t xml:space="preserve"> </w:t>
            </w:r>
            <w:r>
              <w:rPr>
                <w:rFonts w:ascii="Calibri Light" w:hAnsi="Calibri Light" w:cs="Calibri Light" w:eastAsia="Calibri"/>
              </w:rPr>
              <w:t xml:space="preserve">8</w:t>
            </w:r>
            <w:r>
              <w:rPr>
                <w:rFonts w:ascii="Calibri Light" w:hAnsi="Calibri Light" w:cs="Calibri Light" w:eastAsia="Calibri"/>
              </w:rPr>
              <w:t xml:space="preserve"> декабря 2023 </w:t>
            </w:r>
            <w:r>
              <w:rPr>
                <w:rFonts w:ascii="Calibri Light" w:hAnsi="Calibri Light" w:cs="Calibri Light" w:eastAsia="Calibri"/>
              </w:rPr>
              <w:t xml:space="preserve">года</w:t>
            </w:r>
            <w:r/>
          </w:p>
        </w:tc>
      </w:tr>
    </w:tbl>
    <w:p>
      <w:pPr>
        <w:pStyle w:val="430"/>
        <w:ind w:right="-786"/>
        <w:jc w:val="both"/>
        <w:rPr>
          <w:rFonts w:ascii="Calibri Light" w:hAnsi="Calibri Light" w:cs="Calibri Light"/>
          <w:color w:val="000000"/>
          <w:sz w:val="22"/>
          <w:szCs w:val="22"/>
          <w:lang w:val="ru-RU"/>
        </w:rPr>
      </w:pPr>
      <w:r>
        <w:rPr>
          <w:rFonts w:ascii="Calibri Light" w:hAnsi="Calibri Light" w:cs="Calibri Light"/>
          <w:color w:val="000000"/>
          <w:sz w:val="22"/>
          <w:szCs w:val="22"/>
          <w:lang w:val="ru-RU"/>
        </w:rPr>
      </w:r>
      <w:r/>
    </w:p>
    <w:p>
      <w:pPr>
        <w:ind w:left="5954" w:right="-1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</w:r>
      <w:r/>
    </w:p>
    <w:tbl>
      <w:tblPr>
        <w:tblStyle w:val="429"/>
        <w:tblW w:w="0" w:type="auto"/>
        <w:tblInd w:w="-5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0063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pStyle w:val="431"/>
              <w:jc w:val="both"/>
              <w:spacing w:after="0" w:befor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Senior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director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431"/>
              <w:jc w:val="both"/>
              <w:spacing w:after="0" w:before="0"/>
              <w:rPr>
                <w:rFonts w:ascii="Calibri Light" w:hAnsi="Calibri Light" w:cs="Calibri Light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false"/>
                <w:color w:val="000000"/>
                <w:sz w:val="22"/>
                <w:szCs w:val="22"/>
              </w:rPr>
            </w:r>
            <w:r/>
          </w:p>
          <w:p>
            <w:pPr>
              <w:pStyle w:val="431"/>
              <w:jc w:val="both"/>
              <w:spacing w:after="0" w:before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____________________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А. Смагулов</w:t>
            </w:r>
            <w:r/>
          </w:p>
        </w:tc>
        <w:tc>
          <w:tcPr>
            <w:tcW w:w="10178" w:type="dxa"/>
            <w:textDirection w:val="lrTb"/>
            <w:noWrap w:val="false"/>
          </w:tcPr>
          <w:p>
            <w:pPr>
              <w:pStyle w:val="431"/>
              <w:jc w:val="both"/>
              <w:spacing w:after="0" w:before="0"/>
              <w:rPr>
                <w:rFonts w:ascii="Calibri Light" w:hAnsi="Calibri Light" w:cs="Calibri Light"/>
                <w:b w:val="false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false"/>
                <w:color w:val="000000"/>
                <w:sz w:val="22"/>
                <w:szCs w:val="22"/>
              </w:rPr>
            </w:r>
            <w:r/>
          </w:p>
          <w:p>
            <w:pPr>
              <w:pStyle w:val="431"/>
              <w:jc w:val="both"/>
              <w:spacing w:after="0" w:before="0"/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2"/>
                <w:szCs w:val="22"/>
                <w:lang w:val="kk-KZ"/>
              </w:rPr>
            </w:r>
            <w:r/>
          </w:p>
          <w:p>
            <w:pPr>
              <w:ind w:right="-1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</w:r>
            <w:r/>
          </w:p>
        </w:tc>
      </w:tr>
    </w:tbl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</w:r>
      <w:r/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</w:r>
      <w:r/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135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SimSun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 Light" w:hAnsi="Calibri Light" w:cs="Calibri Light" w:eastAsia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 Light" w:hAnsi="Calibri Light" w:cs="Calibri Light" w:eastAsia="SimSu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25"/>
    <w:next w:val="42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25"/>
    <w:next w:val="42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5"/>
    <w:next w:val="42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5"/>
    <w:next w:val="42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5"/>
    <w:next w:val="42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5"/>
    <w:next w:val="42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5"/>
    <w:next w:val="42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5"/>
    <w:next w:val="42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5"/>
    <w:next w:val="42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5"/>
    <w:next w:val="42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6"/>
    <w:link w:val="32"/>
    <w:uiPriority w:val="10"/>
    <w:rPr>
      <w:sz w:val="48"/>
      <w:szCs w:val="48"/>
    </w:rPr>
  </w:style>
  <w:style w:type="paragraph" w:styleId="34">
    <w:name w:val="Subtitle"/>
    <w:basedOn w:val="425"/>
    <w:next w:val="42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6"/>
    <w:link w:val="34"/>
    <w:uiPriority w:val="11"/>
    <w:rPr>
      <w:sz w:val="24"/>
      <w:szCs w:val="24"/>
    </w:rPr>
  </w:style>
  <w:style w:type="paragraph" w:styleId="36">
    <w:name w:val="Quote"/>
    <w:basedOn w:val="425"/>
    <w:next w:val="42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5"/>
    <w:next w:val="42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6"/>
    <w:link w:val="40"/>
    <w:uiPriority w:val="99"/>
  </w:style>
  <w:style w:type="paragraph" w:styleId="42">
    <w:name w:val="Footer"/>
    <w:basedOn w:val="42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6"/>
    <w:link w:val="42"/>
    <w:uiPriority w:val="99"/>
  </w:style>
  <w:style w:type="paragraph" w:styleId="44">
    <w:name w:val="Caption"/>
    <w:basedOn w:val="425"/>
    <w:next w:val="4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2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6"/>
    <w:uiPriority w:val="99"/>
    <w:unhideWhenUsed/>
    <w:rPr>
      <w:vertAlign w:val="superscript"/>
    </w:rPr>
  </w:style>
  <w:style w:type="paragraph" w:styleId="176">
    <w:name w:val="endnote text"/>
    <w:basedOn w:val="42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6"/>
    <w:uiPriority w:val="99"/>
    <w:semiHidden/>
    <w:unhideWhenUsed/>
    <w:rPr>
      <w:vertAlign w:val="superscript"/>
    </w:rPr>
  </w:style>
  <w:style w:type="paragraph" w:styleId="179">
    <w:name w:val="toc 1"/>
    <w:basedOn w:val="425"/>
    <w:next w:val="42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5"/>
    <w:next w:val="42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5"/>
    <w:next w:val="42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5"/>
    <w:next w:val="42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5"/>
    <w:next w:val="42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5"/>
    <w:next w:val="42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5"/>
    <w:next w:val="42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5"/>
    <w:next w:val="42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5"/>
    <w:next w:val="42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5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table" w:styleId="429">
    <w:name w:val="Table Grid"/>
    <w:basedOn w:val="427"/>
    <w:uiPriority w:val="59"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30">
    <w:name w:val="List Paragraph"/>
    <w:basedOn w:val="425"/>
    <w:link w:val="434"/>
    <w:qFormat/>
    <w:uiPriority w:val="34"/>
    <w:rPr>
      <w:lang w:val="en-GB" w:eastAsia="en-US"/>
    </w:rPr>
    <w:pPr>
      <w:contextualSpacing w:val="true"/>
      <w:ind w:left="720"/>
    </w:pPr>
  </w:style>
  <w:style w:type="paragraph" w:styleId="431" w:customStyle="1">
    <w:name w:val="xl30"/>
    <w:basedOn w:val="425"/>
    <w:rPr>
      <w:b/>
      <w:sz w:val="24"/>
    </w:rPr>
    <w:pPr>
      <w:jc w:val="center"/>
      <w:spacing w:after="100" w:before="100"/>
    </w:pPr>
  </w:style>
  <w:style w:type="paragraph" w:styleId="432" w:customStyle="1">
    <w:name w:val="Standard"/>
    <w:qFormat/>
    <w:rPr>
      <w:rFonts w:ascii="Calibri" w:hAnsi="Calibri" w:cs="Calibri" w:eastAsia="SimSun"/>
      <w:lang w:val="ru-RU"/>
    </w:rPr>
    <w:pPr>
      <w:spacing w:lineRule="auto" w:line="276" w:after="200"/>
    </w:pPr>
  </w:style>
  <w:style w:type="paragraph" w:styleId="433">
    <w:name w:val="Normal (Web)"/>
    <w:basedOn w:val="425"/>
    <w:uiPriority w:val="99"/>
    <w:unhideWhenUsed/>
    <w:rPr>
      <w:sz w:val="24"/>
      <w:szCs w:val="24"/>
    </w:rPr>
    <w:pPr>
      <w:spacing w:after="100" w:afterAutospacing="1" w:before="100" w:beforeAutospacing="1"/>
    </w:pPr>
  </w:style>
  <w:style w:type="character" w:styleId="434" w:customStyle="1">
    <w:name w:val="Абзац списка Знак"/>
    <w:link w:val="430"/>
    <w:uiPriority w:val="34"/>
    <w:rPr>
      <w:rFonts w:ascii="Times New Roman" w:hAnsi="Times New Roman" w:cs="Times New Roman" w:eastAsia="Times New Roman"/>
      <w:sz w:val="20"/>
      <w:szCs w:val="20"/>
      <w:lang w:val="en-GB"/>
    </w:rPr>
  </w:style>
  <w:style w:type="character" w:styleId="435">
    <w:name w:val="Emphasis"/>
    <w:basedOn w:val="426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</dc:creator>
  <cp:keywords/>
  <dc:description/>
  <cp:lastModifiedBy>Ахан Нұрсұлтан</cp:lastModifiedBy>
  <cp:revision>5</cp:revision>
  <dcterms:created xsi:type="dcterms:W3CDTF">2023-05-16T10:09:00Z</dcterms:created>
  <dcterms:modified xsi:type="dcterms:W3CDTF">2023-05-25T10:02:54Z</dcterms:modified>
</cp:coreProperties>
</file>